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jp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/>
    <w:p>
      <w:pPr>
        <w:pStyle w:val="Heading1"/>
        <w:rPr>
          <w:rFonts w:ascii="Arial" w:cs="Arial" w:hAnsi="Arial"/>
          <w:b/>
          <w:color w:val="auto"/>
        </w:rPr>
      </w:pPr>
      <w:bookmarkStart w:id="0" w:name="_Toc503774851"/>
      <w:bookmarkStart w:id="1" w:name="_Toc529712713"/>
      <w:bookmarkStart w:id="2" w:name="_GoBack"/>
      <w:r>
        <w:rPr>
          <w:rFonts w:ascii="Arial" w:cs="Arial" w:hAnsi="Arial"/>
          <w:b/>
          <w:color w:val="auto"/>
        </w:rPr>
        <w:t xml:space="preserve">Individual </w:t>
      </w:r>
      <w:r>
        <w:rPr>
          <w:rFonts w:ascii="Arial" w:cs="Arial" w:hAnsi="Arial"/>
          <w:b/>
          <w:color w:val="auto"/>
        </w:rPr>
        <w:t>Assessor</w:t>
      </w:r>
      <w:r>
        <w:rPr>
          <w:rFonts w:ascii="Arial" w:cs="Arial" w:hAnsi="Arial"/>
          <w:b/>
          <w:color w:val="auto"/>
        </w:rPr>
        <w:t xml:space="preserve"> Skills Audit</w:t>
      </w:r>
      <w:bookmarkEnd w:id="0"/>
      <w:bookmarkEnd w:id="1"/>
    </w:p>
    <w:p>
      <w:pPr>
        <w:rPr>
          <w:rFonts w:ascii="Arial" w:cs="Arial" w:hAnsi="Arial"/>
        </w:rPr>
      </w:pPr>
      <w:r>
        <w:rPr>
          <w:rFonts w:ascii="Arial" w:cs="Arial" w:hAnsi="Arial"/>
        </w:rPr>
        <w:t xml:space="preserve">The following should be filled out by each </w:t>
      </w:r>
      <w:r>
        <w:rPr>
          <w:rFonts w:ascii="Arial" w:cs="Arial" w:hAnsi="Arial"/>
        </w:rPr>
        <w:t>Assessor</w:t>
      </w:r>
      <w:r>
        <w:rPr>
          <w:rFonts w:ascii="Arial" w:cs="Arial" w:hAnsi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/>
      </w:tblPr>
      <w:tblGrid>
        <w:gridCol w:w="9242"/>
      </w:tblGrid>
      <w:tr>
        <w:trPr/>
        <w:tc>
          <w:tcPr>
            <w:cnfStyle w:val="101000000000"/>
            <w:tcW w:w="9242" w:type="dxa"/>
          </w:tcPr>
          <w:p>
            <w:pPr>
              <w:rPr>
                <w:rFonts w:ascii="Arial" w:cs="Arial" w:hAnsi="Arial"/>
              </w:rPr>
            </w:pPr>
            <w:bookmarkEnd w:id="2"/>
            <w:r>
              <w:rPr>
                <w:rFonts w:ascii="Arial" w:cs="Arial" w:hAnsi="Arial"/>
                <w:b/>
              </w:rPr>
              <w:t>Name:</w:t>
            </w:r>
          </w:p>
          <w:p>
            <w:pPr>
              <w:rPr>
                <w:rFonts w:ascii="Arial" w:cs="Arial" w:hAnsi="Arial"/>
              </w:rPr>
            </w:pPr>
          </w:p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Clare Chambers</w:t>
            </w:r>
          </w:p>
          <w:p>
            <w:pPr>
              <w:rPr>
                <w:rFonts w:ascii="Arial" w:cs="Arial" w:hAnsi="Arial"/>
              </w:rPr>
            </w:pPr>
          </w:p>
        </w:tc>
      </w:tr>
    </w:tbl>
    <w:p>
      <w:pPr>
        <w:rPr>
          <w:rFonts w:ascii="Arial" w:cs="Arial" w:hAnsi="Arial"/>
          <w:b/>
        </w:rPr>
      </w:pPr>
      <w:r>
        <w:rPr>
          <w:rFonts w:ascii="Arial" w:cs="Arial" w:hAnsi="Arial"/>
          <w:b/>
        </w:rPr>
        <w:br w:type="textWrapping"/>
      </w:r>
      <w:r>
        <w:rPr>
          <w:rFonts w:ascii="Arial" w:cs="Arial" w:hAnsi="Arial"/>
          <w:b/>
        </w:rPr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/>
      </w:tblPr>
      <w:tblGrid>
        <w:gridCol w:w="3369"/>
        <w:gridCol w:w="283"/>
        <w:gridCol w:w="284"/>
        <w:gridCol w:w="283"/>
        <w:gridCol w:w="284"/>
        <w:gridCol w:w="4677"/>
      </w:tblGrid>
      <w:tr>
        <w:trPr>
          <w:trHeight w:val="645"/>
        </w:trPr>
        <w:tc>
          <w:tcPr>
            <w:cnfStyle w:val="101000000000"/>
            <w:tcW w:w="3369" w:type="dxa"/>
            <w:tcBorders>
              <w:bottom w:val="single" w:color="auto" w:sz="4" w:space="0"/>
            </w:tcBorders>
            <w:shd w:val="clear" w:color="auto" w:fill="000000" w:themeFill="text1"/>
          </w:tcPr>
          <w:p>
            <w:pPr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Skills, expertise, knowledge qualifications</w:t>
            </w:r>
          </w:p>
        </w:tc>
        <w:tc>
          <w:tcPr>
            <w:cnfStyle w:val="100000000000"/>
            <w:tcW w:w="1134" w:type="dxa"/>
            <w:gridSpan w:val="4"/>
            <w:tcBorders>
              <w:bottom w:val="single" w:color="auto" w:sz="4" w:space="0"/>
            </w:tcBorders>
            <w:shd w:val="clear" w:color="auto" w:fill="000000" w:themeFill="text1"/>
          </w:tcPr>
          <w:p>
            <w:pPr>
              <w:jc w:val="center"/>
              <w:rPr>
                <w:rFonts w:ascii="Arial" w:cs="Arial" w:hAnsi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cs="Arial" w:hAnsi="Arial"/>
                <w:color w:val="ffffff" w:themeColor="background1"/>
              </w:rPr>
              <w:t>Level of Expertise</w:t>
            </w:r>
          </w:p>
        </w:tc>
        <w:tc>
          <w:tcPr>
            <w:cnfStyle w:val="100000000000"/>
            <w:tcW w:w="4677" w:type="dxa"/>
            <w:tcBorders>
              <w:bottom w:val="single" w:color="auto" w:sz="4" w:space="0"/>
            </w:tcBorders>
            <w:shd w:val="clear" w:color="auto" w:fill="000000" w:themeFill="text1"/>
          </w:tcPr>
          <w:p>
            <w:pPr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Comments</w:t>
            </w:r>
          </w:p>
          <w:p>
            <w:pPr>
              <w:rPr>
                <w:rFonts w:ascii="Arial" w:cs="Arial" w:hAnsi="Arial"/>
                <w:color w:val="ffffff" w:themeColor="background1"/>
              </w:rPr>
            </w:pPr>
          </w:p>
        </w:tc>
      </w:tr>
      <w:tr>
        <w:trPr/>
        <w:tc>
          <w:tcPr>
            <w:cnfStyle w:val="001000100000"/>
            <w:tcW w:w="3369" w:type="dxa"/>
            <w:shd w:val="clear" w:color="auto" w:fill="000000" w:themeFill="text1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  <w:tcBorders>
              <w:top w:val="single" w:color="auto" w:sz="4" w:space="0"/>
            </w:tcBorders>
            <w:shd w:val="clear" w:color="auto" w:fill="000000" w:themeFill="text1"/>
          </w:tcPr>
          <w:p>
            <w:pPr>
              <w:jc w:val="center"/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1</w:t>
            </w:r>
          </w:p>
        </w:tc>
        <w:tc>
          <w:tcPr>
            <w:cnfStyle w:val="000000100000"/>
            <w:tcW w:w="284" w:type="dxa"/>
            <w:shd w:val="clear" w:color="auto" w:fill="000000" w:themeFill="text1"/>
          </w:tcPr>
          <w:p>
            <w:pPr>
              <w:jc w:val="center"/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2</w:t>
            </w:r>
          </w:p>
        </w:tc>
        <w:tc>
          <w:tcPr>
            <w:cnfStyle w:val="000000100000"/>
            <w:tcW w:w="283" w:type="dxa"/>
            <w:shd w:val="clear" w:color="auto" w:fill="000000" w:themeFill="text1"/>
          </w:tcPr>
          <w:p>
            <w:pPr>
              <w:jc w:val="center"/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3</w:t>
            </w:r>
          </w:p>
        </w:tc>
        <w:tc>
          <w:tcPr>
            <w:cnfStyle w:val="000000100000"/>
            <w:tcW w:w="284" w:type="dxa"/>
            <w:shd w:val="clear" w:color="auto" w:fill="000000" w:themeFill="text1"/>
          </w:tcPr>
          <w:p>
            <w:pPr>
              <w:jc w:val="center"/>
              <w:rPr>
                <w:rFonts w:ascii="Arial" w:cs="Arial" w:hAnsi="Arial"/>
                <w:color w:val="ffffff" w:themeColor="background1"/>
              </w:rPr>
            </w:pPr>
            <w:r>
              <w:rPr>
                <w:rFonts w:ascii="Arial" w:cs="Arial" w:hAnsi="Arial"/>
                <w:color w:val="ffffff" w:themeColor="background1"/>
              </w:rPr>
              <w:t>4</w:t>
            </w:r>
          </w:p>
        </w:tc>
        <w:tc>
          <w:tcPr>
            <w:cnfStyle w:val="000000100000"/>
            <w:tcW w:w="4677" w:type="dxa"/>
            <w:shd w:val="clear" w:color="auto" w:fill="000000" w:themeFill="text1"/>
          </w:tcPr>
          <w:p>
            <w:pPr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Occupational Competence in the Standard they will assess </w:t>
            </w:r>
          </w:p>
        </w:tc>
        <w:tc>
          <w:tcPr>
            <w:cnfStyle w:val="000000010000"/>
            <w:tcW w:w="283" w:type="dxa"/>
            <w:tcBorders>
              <w:top w:val="single" w:color="auto" w:sz="4" w:space="0"/>
            </w:tcBorders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 have developed, assessed and EPA-ed JCP3 and DM3 standards in addition to industry experience.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</w:t>
            </w:r>
            <w:r>
              <w:rPr>
                <w:rFonts w:ascii="Arial" w:cs="Arial" w:hAnsi="Arial"/>
              </w:rPr>
              <w:t xml:space="preserve">ynoptic </w:t>
            </w:r>
            <w:r>
              <w:rPr>
                <w:rFonts w:ascii="Arial" w:cs="Arial" w:hAnsi="Arial"/>
              </w:rPr>
              <w:t>Assessment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Experience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 have written synoptic examinations and mock projects, as well as assessed them.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Personal CPD logs updated regularly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Continually updated with new qualifications and CPD.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Chairing </w:t>
            </w:r>
            <w:r>
              <w:rPr>
                <w:rFonts w:ascii="Arial" w:cs="Arial" w:hAnsi="Arial"/>
              </w:rPr>
              <w:t xml:space="preserve">Standardisation </w:t>
            </w:r>
            <w:r>
              <w:rPr>
                <w:rFonts w:ascii="Arial" w:cs="Arial" w:hAnsi="Arial"/>
              </w:rPr>
              <w:t>meetings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Experience in past roles but </w:t>
            </w:r>
            <w:r>
              <w:rPr>
                <w:rFonts w:ascii="Arial" w:cs="Arial" w:hAnsi="Arial"/>
              </w:rPr>
              <w:t xml:space="preserve">attendance only </w:t>
            </w:r>
            <w:r>
              <w:rPr>
                <w:rFonts w:ascii="Arial" w:cs="Arial" w:hAnsi="Arial"/>
              </w:rPr>
              <w:t xml:space="preserve">required in the past year.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Change management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Some</w:t>
            </w:r>
            <w:r>
              <w:rPr>
                <w:rFonts w:ascii="Arial" w:cs="Arial" w:hAnsi="Arial"/>
              </w:rPr>
              <w:t xml:space="preserve"> experience on the Lead IQA side. Particularly in response to Ofsted and auditing feedback.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Complaint resolution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Handled resits and resubmissions but not been faced with many complaints procedures in my period of service.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Customer care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 am experienced in customer facing  FE services: employer engagement, quality assurance of apprenticeships and consulting.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Experience of managing an appeals process for any appeals that arise from assessment decisions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Not been faced with this situation yet.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Influencing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Industry leader, former curriculum lead and ongoing work as a subject matter expert for both FE and corporate education programmes, including DotNative, CIM and Squared Online which are popular knowledge module certifications for DM3.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IT/systems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Advanced IT skills.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Leadership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Experienced entrepreneur/business owner in addition to past employed roles in apprenticeships sector.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EPAO Quality Assurance Knowledge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 have worked with EPAOs in various capacities; content production, assessment design, MCQ writing, mock project writing, EPA,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Listening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Good (according to peer feedback) but can always be improved.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Malpractice and maladministration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Awareness of practices and theory as a result of qualification processes. But, </w:t>
            </w:r>
            <w:r>
              <w:rPr>
                <w:rFonts w:ascii="Arial" w:cs="Arial" w:hAnsi="Arial"/>
              </w:rPr>
              <w:t xml:space="preserve">thankfully no experience of it in practice yet.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</w:t>
            </w:r>
            <w:r>
              <w:rPr>
                <w:rFonts w:ascii="Arial" w:cs="Arial" w:hAnsi="Arial"/>
              </w:rPr>
              <w:t>ommunications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Usually one of my strengths as a proactive and business development oriented professional. Can always be improved.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Experience of standard Assessment formats, Moderation and Standardisation of Scoring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6 years assessor and external examiner experience across a range of FE and corporate qualifications L3-6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Ability to </w:t>
            </w:r>
            <w:r>
              <w:rPr>
                <w:rFonts w:ascii="Arial" w:cs="Arial" w:hAnsi="Arial"/>
              </w:rPr>
              <w:t xml:space="preserve">design &amp; </w:t>
            </w:r>
            <w:r>
              <w:rPr>
                <w:rFonts w:ascii="Arial" w:cs="Arial" w:hAnsi="Arial"/>
              </w:rPr>
              <w:t>develop</w:t>
            </w:r>
            <w:r>
              <w:rPr>
                <w:rFonts w:ascii="Arial" w:cs="Arial" w:hAnsi="Arial"/>
              </w:rPr>
              <w:t xml:space="preserve">, </w:t>
            </w:r>
            <w:r>
              <w:rPr>
                <w:rFonts w:ascii="Arial" w:cs="Arial" w:hAnsi="Arial"/>
              </w:rPr>
              <w:t xml:space="preserve">maintain </w:t>
            </w:r>
            <w:r>
              <w:rPr>
                <w:rFonts w:ascii="Arial" w:cs="Arial" w:hAnsi="Arial"/>
              </w:rPr>
              <w:t xml:space="preserve">&amp; review </w:t>
            </w:r>
            <w:r>
              <w:rPr>
                <w:rFonts w:ascii="Arial" w:cs="Arial" w:hAnsi="Arial"/>
              </w:rPr>
              <w:t>Assessment Tools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This was my main business offering over recent years, and I have produced assessment materials in every FE role.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Experience/Qualifications in Internal Verification &amp; Quality Assurance Processes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Currently studying further education courses in assessment and educational leadership. Qualified EPA, IQA and TAQA.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Relationship management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Key part of all of my professional roles but always an area for improvement.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Risk management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Understanding of key principles. </w:t>
            </w:r>
            <w:r>
              <w:rPr>
                <w:rFonts w:ascii="Arial" w:cs="Arial" w:hAnsi="Arial"/>
              </w:rPr>
              <w:t xml:space="preserve">Implemented into EPA and IQA strategies 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Safeguarding</w:t>
            </w: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 keep</w:t>
            </w:r>
            <w:r>
              <w:rPr>
                <w:rFonts w:ascii="Arial" w:cs="Arial" w:hAnsi="Arial"/>
              </w:rPr>
              <w:t xml:space="preserve"> CPD up to date. 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Team development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X</w:t>
            </w: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I have managed remote teams through my businesses. Less experience of team management in employed scenarios. </w:t>
            </w:r>
          </w:p>
        </w:tc>
      </w:tr>
      <w:tr>
        <w:trPr/>
        <w:tc>
          <w:tcPr>
            <w:cnfStyle w:val="001000010000"/>
            <w:tcW w:w="9180" w:type="dxa"/>
            <w:gridSpan w:val="6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Other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 xml:space="preserve">(Specialist experience or qualification relevant to </w:t>
            </w:r>
            <w:r>
              <w:rPr>
                <w:rFonts w:ascii="Arial" w:cs="Arial" w:hAnsi="Arial"/>
              </w:rPr>
              <w:t>the Assessor</w:t>
            </w:r>
            <w:r>
              <w:rPr>
                <w:rFonts w:ascii="Arial" w:cs="Arial" w:hAnsi="Arial"/>
              </w:rPr>
              <w:t xml:space="preserve"> role)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100000"/>
            <w:tcW w:w="4677" w:type="dxa"/>
          </w:tcPr>
          <w:p>
            <w:pPr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3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284" w:type="dxa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00010000"/>
            <w:tcW w:w="4677" w:type="dxa"/>
          </w:tcPr>
          <w:p>
            <w:pPr>
              <w:rPr>
                <w:rFonts w:ascii="Arial" w:cs="Arial" w:hAnsi="Arial"/>
              </w:rPr>
            </w:pPr>
          </w:p>
        </w:tc>
      </w:tr>
    </w:tbl>
    <w:p>
      <w:pPr>
        <w:rPr>
          <w:rFonts w:ascii="Arial" w:cs="Arial" w:hAnsi="Arial"/>
        </w:rPr>
      </w:pPr>
    </w:p>
    <w:sectPr>
      <w:headerReference w:type="default" r:id="rId11"/>
      <w:pgSz w:w="16838" w:h="11906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MinionPro-Regular">
    <w:panose1 w:val="00000000000000000000"/>
    <w:charset w:val="4d"/>
    <w:family w:val="auto"/>
    <w:notTrueType w:val="o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  <w:r>
      <w:rPr/>
      <w:drawing xmlns:mc="http://schemas.openxmlformats.org/markup-compatibility/2006">
        <wp:inline distT="0" distB="0" distL="0" distR="0">
          <wp:extent cx="2609850" cy="41486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41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fldChar w:fldCharType="begin"/>
    </w:r>
    <w:r>
      <w:instrText xml:space="preserve"> PAGE </w:instrText>
    </w:r>
    <w:r>
      <w:fldChar w:fldCharType="separate"/>
    </w:r>
    <w:r>
      <w:rPr>
        <w:b/>
        <w:bCs/>
        <w:sz w:val="24"/>
        <w:szCs w:val="24"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b/>
        <w:bCs/>
        <w:sz w:val="24"/>
        <w:szCs w:val="24"/>
      </w:rPr>
      <w:t>14</w:t>
    </w:r>
    <w:r>
      <w:fldChar w:fldCharType="end"/>
    </w:r>
    <w:r>
      <w:rPr>
        <w:b/>
        <w:bCs/>
        <w:sz w:val="24"/>
        <w:szCs w:val="24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cs="Times New Roman" w:eastAsia="Times New Roman" w:hAnsi="Open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ascii="OpenSans" w:cs="Times New Roman" w:eastAsia="Times New Roman" w:hAnsi="OpenSans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numFmt w:val="bullet"/>
      <w:lvlText w:val="-"/>
      <w:lvlJc w:val="left"/>
      <w:pPr>
        <w:ind w:left="1440" w:hanging="360"/>
      </w:pPr>
      <w:rPr>
        <w:rFonts w:ascii="Arial" w:cs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 w:val="on"/>
    <w:qFormat w:val="on"/>
    <w:unhideWhenUsed w:val="on"/>
    <w:pPr>
      <w:keepNext w:val="off"/>
      <w:keepLines w:val="off"/>
      <w:spacing w:before="100" w:after="100" w:line="240" w:lineRule="auto"/>
    </w:pPr>
    <w:rPr>
      <w:rFonts w:ascii="Arial" w:cs="Times New Roman" w:hAnsi="Arial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cs="Times New Roman" w:eastAsiaTheme="majorEastAsia" w:hAnsi="Arial"/>
      <w:bCs/>
      <w:sz w:val="36"/>
      <w:szCs w:val="36"/>
      <w:lang w:val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Calibri" w:cs="Calibri" w:eastAsiaTheme="minorEastAsia" w:hAnsi="Calibri"/>
      <w:lang w:eastAsia="en-GB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[NoParagraphStyle]">
    <w:name w:val="[No Paragraph Style]"/>
    <w:uiPriority w:val="99"/>
    <w:pPr>
      <w:spacing w:after="0" w:line="288" w:lineRule="auto"/>
    </w:pPr>
    <w:rPr>
      <w:rFonts w:ascii="MinionPro-Regular" w:cs="MinionPro-Regular" w:eastAsia="MS Mincho" w:hAnsi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unhideWhenUsed w:val="on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1" Type="http://schemas.openxmlformats.org/officeDocument/2006/relationships/header" Target="head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Azmat Mohammed</dc:creator>
  <cp:lastModifiedBy>Clare Chambers</cp:lastModifiedBy>
</cp:coreProperties>
</file>